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163FA963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76B7E">
        <w:rPr>
          <w:rFonts w:cs="Arial"/>
          <w:sz w:val="20"/>
        </w:rPr>
        <w:t>1S1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C6299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F7E71">
        <w:rPr>
          <w:rFonts w:cs="Arial"/>
          <w:sz w:val="20"/>
        </w:rPr>
        <w:t>0</w:t>
      </w:r>
      <w:r w:rsidR="00076B7E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proofErr w:type="gramStart"/>
      <w:r w:rsidRPr="00EE1910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EE1910">
        <w:rPr>
          <w:rFonts w:cs="Arial"/>
          <w:b w:val="0"/>
          <w:sz w:val="18"/>
          <w:szCs w:val="18"/>
          <w:lang w:val="es-ES"/>
        </w:rPr>
        <w:t>:_</w:t>
      </w:r>
      <w:proofErr w:type="gramEnd"/>
      <w:r w:rsidRPr="00EE1910">
        <w:rPr>
          <w:rFonts w:cs="Arial"/>
          <w:b w:val="0"/>
          <w:sz w:val="18"/>
          <w:szCs w:val="18"/>
          <w:lang w:val="es-ES"/>
        </w:rPr>
        <w:t>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EE1910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EE1910">
        <w:rPr>
          <w:rFonts w:cs="Arial"/>
          <w:b w:val="0"/>
          <w:sz w:val="18"/>
          <w:szCs w:val="18"/>
          <w:lang w:val="es-ES"/>
        </w:rPr>
        <w:t xml:space="preserve"> </w:t>
      </w:r>
      <w:proofErr w:type="gramStart"/>
      <w:r w:rsidRPr="00EE1910">
        <w:rPr>
          <w:rFonts w:cs="Arial"/>
          <w:b w:val="0"/>
          <w:sz w:val="18"/>
          <w:szCs w:val="18"/>
          <w:lang w:val="es-ES"/>
        </w:rPr>
        <w:t>ID:_</w:t>
      </w:r>
      <w:proofErr w:type="gramEnd"/>
      <w:r w:rsidRPr="00EE1910">
        <w:rPr>
          <w:rFonts w:cs="Arial"/>
          <w:b w:val="0"/>
          <w:sz w:val="18"/>
          <w:szCs w:val="18"/>
          <w:lang w:val="es-ES"/>
        </w:rPr>
        <w:t>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Pr="008E5DDD">
        <w:rPr>
          <w:rFonts w:ascii="Arial" w:hAnsi="Arial" w:cs="Arial"/>
          <w:b/>
          <w:i/>
          <w:sz w:val="18"/>
          <w:szCs w:val="18"/>
        </w:rPr>
        <w:t>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56738C0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75A3D2CF" w:rsidR="00A046AF" w:rsidRDefault="00980F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80F0E">
        <w:rPr>
          <w:noProof/>
        </w:rPr>
        <w:drawing>
          <wp:anchor distT="0" distB="0" distL="114300" distR="114300" simplePos="0" relativeHeight="251682816" behindDoc="0" locked="0" layoutInCell="1" allowOverlap="1" wp14:anchorId="2D300DA1" wp14:editId="0AA66A35">
            <wp:simplePos x="0" y="0"/>
            <wp:positionH relativeFrom="column">
              <wp:posOffset>3479</wp:posOffset>
            </wp:positionH>
            <wp:positionV relativeFrom="paragraph">
              <wp:posOffset>3617</wp:posOffset>
            </wp:positionV>
            <wp:extent cx="6408000" cy="148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192C933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456815" cy="107569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DD367A" w:rsidRDefault="00AF1C2B" w:rsidP="00DD367A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7155BC8E" w14:textId="1C31932A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bookmarkStart w:id="0" w:name="_Hlk130798136"/>
      <w:r w:rsidRPr="00216AF0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12F931E" w14:textId="34E7814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6 may give rise to a lower yield of A*23 alleles than the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other A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low primer mixes.</w:t>
      </w:r>
    </w:p>
    <w:p w14:paraId="192B9F5F" w14:textId="30587F61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9 may weakly amplify the A*34 alleles.</w:t>
      </w:r>
    </w:p>
    <w:p w14:paraId="398DBF34" w14:textId="4E1B713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22 might faintly amplify most A*11 alleles.</w:t>
      </w:r>
    </w:p>
    <w:p w14:paraId="0DECFC02" w14:textId="0DD462E5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mixes 15, 24, 27 and 28 may give rise to a lower yield of HLA-specific PCR product than the other HLA-A low primer mixes.</w:t>
      </w:r>
    </w:p>
    <w:p w14:paraId="578C86E2" w14:textId="3B13619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giving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rise to primer oligomer formation.</w:t>
      </w:r>
    </w:p>
    <w:p w14:paraId="451F61BF" w14:textId="79D91D87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>Primer mixes 13, 15, 20, 23, 24 and 27 to 29 may have tendencies of unspecific amplifications.</w:t>
      </w:r>
    </w:p>
    <w:p w14:paraId="5FF5A777" w14:textId="7B8C907F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30 may generate a false positive band of about 500 base pairs. This band should be disregarded when interpreting HLA-A low resolution </w:t>
      </w:r>
      <w:proofErr w:type="spellStart"/>
      <w:r w:rsidRPr="00216AF0">
        <w:rPr>
          <w:rFonts w:ascii="Arial" w:hAnsi="Arial" w:cs="Arial"/>
          <w:spacing w:val="-2"/>
          <w:sz w:val="18"/>
          <w:szCs w:val="18"/>
        </w:rPr>
        <w:t>typings</w:t>
      </w:r>
      <w:proofErr w:type="spellEnd"/>
      <w:r w:rsidRPr="00216AF0">
        <w:rPr>
          <w:rFonts w:ascii="Arial" w:hAnsi="Arial" w:cs="Arial"/>
          <w:spacing w:val="-2"/>
          <w:sz w:val="18"/>
          <w:szCs w:val="18"/>
        </w:rPr>
        <w:t>.</w:t>
      </w:r>
    </w:p>
    <w:p w14:paraId="6E265A38" w14:textId="6C9D0A51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32 contains a negative control, which will amplify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the majority of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61FFD3FB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129375E7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D60D62" w:rsidRPr="00D60D62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126BE57" wp14:editId="1831E1F7">
            <wp:simplePos x="0" y="0"/>
            <wp:positionH relativeFrom="page">
              <wp:posOffset>540385</wp:posOffset>
            </wp:positionH>
            <wp:positionV relativeFrom="page">
              <wp:posOffset>1173811</wp:posOffset>
            </wp:positionV>
            <wp:extent cx="6479540" cy="7001510"/>
            <wp:effectExtent l="0" t="0" r="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FE53148" w14:textId="20B2B46E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A7AADBF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48AA6398" w:rsidR="00CE4C15" w:rsidRDefault="0018482A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8482A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3EE6837D" wp14:editId="668E41EB">
            <wp:simplePos x="0" y="0"/>
            <wp:positionH relativeFrom="page">
              <wp:posOffset>540385</wp:posOffset>
            </wp:positionH>
            <wp:positionV relativeFrom="paragraph">
              <wp:posOffset>30811</wp:posOffset>
            </wp:positionV>
            <wp:extent cx="6480000" cy="5785200"/>
            <wp:effectExtent l="0" t="0" r="0" b="635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7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BE68" w14:textId="5FDBD18E" w:rsidR="00E54A91" w:rsidRDefault="00E54A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2251095B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0386758B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15680512" w:rsidR="00736191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F70824">
        <w:lastRenderedPageBreak/>
        <w:drawing>
          <wp:anchor distT="0" distB="0" distL="114300" distR="114300" simplePos="0" relativeHeight="251694080" behindDoc="0" locked="0" layoutInCell="1" allowOverlap="1" wp14:anchorId="75A7FFD2" wp14:editId="663526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810" cy="8521700"/>
            <wp:effectExtent l="0" t="0" r="0" b="0"/>
            <wp:wrapSquare wrapText="bothSides"/>
            <wp:docPr id="1881643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E7EE5" w14:textId="14055EB4" w:rsidR="00F70824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D7C0837" w14:textId="11C0511F" w:rsidR="00F70824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3421031" w14:textId="77777777" w:rsidR="00F70824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94F75A3" w14:textId="1BF996CE" w:rsidR="00F70824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B80335">
        <w:rPr>
          <w:noProof/>
        </w:rPr>
        <w:drawing>
          <wp:anchor distT="0" distB="0" distL="114300" distR="114300" simplePos="0" relativeHeight="251693056" behindDoc="0" locked="0" layoutInCell="1" allowOverlap="1" wp14:anchorId="7A9DEDE2" wp14:editId="511B2D4F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6480000" cy="71244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059A1" w14:textId="7C1A6E65" w:rsidR="00F70824" w:rsidRDefault="00F7082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AB1D29" w14:textId="59B08506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5D49C25A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CF950A" w14:textId="392A0474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7D3C1A9C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BD2CA7" w14:textId="63CD16A6" w:rsidR="00907517" w:rsidRDefault="00AB327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AB327E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60CFAA7" wp14:editId="4DA161D0">
            <wp:simplePos x="540689" y="112908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3520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FB90C" w14:textId="6B780EE3" w:rsidR="005B5E61" w:rsidRDefault="00256B5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256B57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637F1BD3" wp14:editId="0BE1F8CC">
            <wp:simplePos x="540689" y="1264257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988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918EA" w14:textId="4F5D9A87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4FE1EDC" w14:textId="17DA8AC8" w:rsidR="005B5E61" w:rsidRDefault="00BA2C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A2C61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77FC70D" wp14:editId="722F5EE5">
            <wp:simplePos x="540689" y="112908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546400"/>
            <wp:effectExtent l="0" t="0" r="0" b="762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F2B56" w14:textId="17225814" w:rsidR="005B5E61" w:rsidRDefault="00BA2C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A2C61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65C967E6" wp14:editId="0A7E19EE">
            <wp:simplePos x="540689" y="112908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5536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8A92B" w14:textId="77777777" w:rsidR="0073032B" w:rsidRDefault="0073032B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6"/>
          <w:szCs w:val="16"/>
        </w:rPr>
      </w:pPr>
    </w:p>
    <w:p w14:paraId="5CA6E977" w14:textId="55C87F29" w:rsidR="00A64117" w:rsidRPr="0073032B" w:rsidRDefault="0073032B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8"/>
          <w:szCs w:val="8"/>
        </w:rPr>
      </w:pPr>
      <w:r w:rsidRPr="0073032B">
        <w:rPr>
          <w:noProof/>
          <w:sz w:val="8"/>
          <w:szCs w:val="8"/>
        </w:rPr>
        <w:drawing>
          <wp:anchor distT="0" distB="0" distL="114300" distR="114300" simplePos="0" relativeHeight="251692032" behindDoc="0" locked="0" layoutInCell="1" allowOverlap="1" wp14:anchorId="1777A188" wp14:editId="0B7F50E9">
            <wp:simplePos x="0" y="0"/>
            <wp:positionH relativeFrom="page">
              <wp:posOffset>540385</wp:posOffset>
            </wp:positionH>
            <wp:positionV relativeFrom="page">
              <wp:posOffset>1143939</wp:posOffset>
            </wp:positionV>
            <wp:extent cx="6480000" cy="5871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8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117" w:rsidRPr="00104599">
        <w:rPr>
          <w:b/>
          <w:spacing w:val="-3"/>
          <w:sz w:val="18"/>
          <w:szCs w:val="18"/>
          <w:vertAlign w:val="superscript"/>
        </w:rPr>
        <w:t>1</w:t>
      </w:r>
      <w:r w:rsidR="00A64117"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5254CF">
        <w:rPr>
          <w:rFonts w:cs="Arial"/>
          <w:sz w:val="18"/>
          <w:szCs w:val="18"/>
        </w:rPr>
        <w:t>3</w:t>
      </w:r>
      <w:r w:rsidR="00104599" w:rsidRPr="00104599">
        <w:rPr>
          <w:rFonts w:cs="Arial"/>
          <w:sz w:val="18"/>
          <w:szCs w:val="18"/>
        </w:rPr>
        <w:t>-</w:t>
      </w:r>
      <w:r w:rsidR="005254CF">
        <w:rPr>
          <w:rFonts w:cs="Arial"/>
          <w:sz w:val="18"/>
          <w:szCs w:val="18"/>
        </w:rPr>
        <w:t>January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5254CF">
        <w:rPr>
          <w:rFonts w:cs="Arial"/>
          <w:sz w:val="18"/>
          <w:szCs w:val="18"/>
        </w:rPr>
        <w:t>2</w:t>
      </w:r>
      <w:r w:rsidR="00104599" w:rsidRPr="00104599">
        <w:rPr>
          <w:rFonts w:cs="Arial"/>
          <w:sz w:val="18"/>
          <w:szCs w:val="18"/>
        </w:rPr>
        <w:t>, release 3.</w:t>
      </w:r>
      <w:r w:rsidR="005254CF">
        <w:rPr>
          <w:rFonts w:cs="Arial"/>
          <w:sz w:val="18"/>
          <w:szCs w:val="18"/>
        </w:rPr>
        <w:t>51</w:t>
      </w:r>
      <w:r w:rsidR="00104599" w:rsidRPr="00104599">
        <w:rPr>
          <w:rFonts w:cs="Arial"/>
          <w:sz w:val="18"/>
          <w:szCs w:val="18"/>
        </w:rPr>
        <w:t>.0</w:t>
      </w:r>
      <w:r w:rsidR="00A64117" w:rsidRPr="00104599">
        <w:rPr>
          <w:spacing w:val="-3"/>
          <w:sz w:val="18"/>
          <w:szCs w:val="18"/>
        </w:rPr>
        <w:t xml:space="preserve">, </w:t>
      </w:r>
      <w:hyperlink r:id="rId23" w:history="1">
        <w:r w:rsidR="00A64117"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A64117"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DF30CC6" w14:textId="6F2C75C9" w:rsidR="00305E60" w:rsidRPr="005254CF" w:rsidRDefault="00A64117" w:rsidP="005254CF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C51B6C6" w14:textId="7F864ADD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7777777" w:rsidR="007814B7" w:rsidRPr="0073032B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6"/>
          <w:szCs w:val="6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5254CF" w:rsidRPr="005254CF" w14:paraId="7F17E35B" w14:textId="77777777" w:rsidTr="0052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93488AC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1" w:name="_Hlk14788310"/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F6C0C12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254CF" w:rsidRPr="005254CF" w14:paraId="362D6FC8" w14:textId="77777777" w:rsidTr="0052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left w:val="nil"/>
            </w:tcBorders>
          </w:tcPr>
          <w:p w14:paraId="527A0B93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A*01:427, 36:02</w:t>
            </w:r>
          </w:p>
        </w:tc>
        <w:tc>
          <w:tcPr>
            <w:tcW w:w="3827" w:type="dxa"/>
            <w:tcBorders>
              <w:right w:val="nil"/>
            </w:tcBorders>
          </w:tcPr>
          <w:p w14:paraId="2F1AE77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A*25:78, 26:57, 66:15</w:t>
            </w:r>
          </w:p>
        </w:tc>
      </w:tr>
      <w:tr w:rsidR="005254CF" w:rsidRPr="005254CF" w14:paraId="588F16BD" w14:textId="77777777" w:rsidTr="00525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</w:tcBorders>
          </w:tcPr>
          <w:p w14:paraId="0826191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A*11:325, 24:555</w:t>
            </w:r>
          </w:p>
        </w:tc>
        <w:tc>
          <w:tcPr>
            <w:tcW w:w="3827" w:type="dxa"/>
            <w:tcBorders>
              <w:right w:val="nil"/>
            </w:tcBorders>
          </w:tcPr>
          <w:p w14:paraId="389C204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 xml:space="preserve">A*30:12:01-30:12:02, 30:31, 30:152, 30:166, </w:t>
            </w:r>
            <w:r w:rsidRPr="005254CF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B*07:260, C*12:328</w:t>
            </w:r>
          </w:p>
        </w:tc>
      </w:tr>
      <w:tr w:rsidR="005254CF" w:rsidRPr="005254CF" w14:paraId="35388D1C" w14:textId="77777777" w:rsidTr="0052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</w:tcBorders>
          </w:tcPr>
          <w:p w14:paraId="04682D6D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A*23:14:01-23:14:02, 23:104-23:105, 24:71, 24:315, 24:392, 24:527</w:t>
            </w:r>
          </w:p>
        </w:tc>
        <w:tc>
          <w:tcPr>
            <w:tcW w:w="3827" w:type="dxa"/>
            <w:tcBorders>
              <w:right w:val="nil"/>
            </w:tcBorders>
          </w:tcPr>
          <w:p w14:paraId="2BA35D21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5254CF" w:rsidRPr="005254CF" w14:paraId="5B957EDB" w14:textId="77777777" w:rsidTr="00525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bottom w:val="nil"/>
            </w:tcBorders>
          </w:tcPr>
          <w:p w14:paraId="558A4802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 xml:space="preserve">A*23:66, 23:99, 23:128, 24:14:01:01-24:15, 24:51-24:53, 24:57, 24:64, 24:94, 24:114, 24:138, 24:188, 24:222N, 24:228, 24:291, 24:296, 24:304, 24:316, 24:324, 24:412, 24:481, 24:515, </w:t>
            </w:r>
            <w:r w:rsidRPr="005254CF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B*53:72, C*04:01:03</w:t>
            </w: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34F9509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A*34:06, 66:40</w:t>
            </w:r>
          </w:p>
        </w:tc>
      </w:tr>
      <w:bookmarkEnd w:id="1"/>
    </w:tbl>
    <w:p w14:paraId="40539E65" w14:textId="77777777" w:rsidR="0073032B" w:rsidRPr="00722EB0" w:rsidRDefault="0073032B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0"/>
          <w:szCs w:val="10"/>
          <w:u w:val="single"/>
        </w:rPr>
      </w:pPr>
    </w:p>
    <w:p w14:paraId="7A0F2364" w14:textId="2E4FA402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3B982C7B" w14:textId="77777777" w:rsidR="00217855" w:rsidRPr="00080B03" w:rsidRDefault="00217855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sectPr w:rsidR="00217855" w:rsidRPr="00080B03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6FA6687F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70824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6D15F5F7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217855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217855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F70824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proofErr w:type="gramStart"/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3FC7752A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76B7E">
      <w:rPr>
        <w:rFonts w:ascii="Arial" w:hAnsi="Arial" w:cs="Arial"/>
        <w:b/>
        <w:sz w:val="20"/>
        <w:szCs w:val="20"/>
      </w:rPr>
      <w:t>1S1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90457">
    <w:abstractNumId w:val="6"/>
  </w:num>
  <w:num w:numId="2" w16cid:durableId="1786583505">
    <w:abstractNumId w:val="9"/>
  </w:num>
  <w:num w:numId="3" w16cid:durableId="659582106">
    <w:abstractNumId w:val="3"/>
  </w:num>
  <w:num w:numId="4" w16cid:durableId="957375156">
    <w:abstractNumId w:val="0"/>
  </w:num>
  <w:num w:numId="5" w16cid:durableId="976957524">
    <w:abstractNumId w:val="1"/>
  </w:num>
  <w:num w:numId="6" w16cid:durableId="1913814668">
    <w:abstractNumId w:val="2"/>
  </w:num>
  <w:num w:numId="7" w16cid:durableId="77903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097408">
    <w:abstractNumId w:val="5"/>
  </w:num>
  <w:num w:numId="9" w16cid:durableId="2054111127">
    <w:abstractNumId w:val="4"/>
  </w:num>
  <w:num w:numId="10" w16cid:durableId="41905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rgUAaxpeKy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3770A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B7E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18B4"/>
    <w:rsid w:val="0018482A"/>
    <w:rsid w:val="0018526D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E2EA7"/>
    <w:rsid w:val="001E44C2"/>
    <w:rsid w:val="001F1BFE"/>
    <w:rsid w:val="001F3F6C"/>
    <w:rsid w:val="001F6847"/>
    <w:rsid w:val="002133B8"/>
    <w:rsid w:val="002144EA"/>
    <w:rsid w:val="00214D0C"/>
    <w:rsid w:val="002152CE"/>
    <w:rsid w:val="00216AF0"/>
    <w:rsid w:val="00217855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56B57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A36"/>
    <w:rsid w:val="004F2AAC"/>
    <w:rsid w:val="004F3A3A"/>
    <w:rsid w:val="004F4519"/>
    <w:rsid w:val="004F5DC6"/>
    <w:rsid w:val="00503481"/>
    <w:rsid w:val="005040B8"/>
    <w:rsid w:val="00511D00"/>
    <w:rsid w:val="00512069"/>
    <w:rsid w:val="005254CF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5E61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6440"/>
    <w:rsid w:val="00607B65"/>
    <w:rsid w:val="006132E4"/>
    <w:rsid w:val="006163AA"/>
    <w:rsid w:val="006223A5"/>
    <w:rsid w:val="00622D2E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951FA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2EB0"/>
    <w:rsid w:val="00725A20"/>
    <w:rsid w:val="0073032B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1D80"/>
    <w:rsid w:val="007946F1"/>
    <w:rsid w:val="00796E2D"/>
    <w:rsid w:val="007A0761"/>
    <w:rsid w:val="007A1CE6"/>
    <w:rsid w:val="007B2E1B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5452"/>
    <w:rsid w:val="00837383"/>
    <w:rsid w:val="00856D5B"/>
    <w:rsid w:val="008650CB"/>
    <w:rsid w:val="00865C45"/>
    <w:rsid w:val="00872220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4458"/>
    <w:rsid w:val="008B674C"/>
    <w:rsid w:val="008C0BD7"/>
    <w:rsid w:val="008C2601"/>
    <w:rsid w:val="008C3A0F"/>
    <w:rsid w:val="008C4D31"/>
    <w:rsid w:val="008C5809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07517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0F0E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3A64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479C8"/>
    <w:rsid w:val="00A50614"/>
    <w:rsid w:val="00A64117"/>
    <w:rsid w:val="00A67352"/>
    <w:rsid w:val="00A715E1"/>
    <w:rsid w:val="00A7677C"/>
    <w:rsid w:val="00A812C9"/>
    <w:rsid w:val="00A84AA6"/>
    <w:rsid w:val="00A905BF"/>
    <w:rsid w:val="00A916D7"/>
    <w:rsid w:val="00A93EF0"/>
    <w:rsid w:val="00AA01BA"/>
    <w:rsid w:val="00AA240A"/>
    <w:rsid w:val="00AA68C3"/>
    <w:rsid w:val="00AB2381"/>
    <w:rsid w:val="00AB327E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3F4F"/>
    <w:rsid w:val="00B2771C"/>
    <w:rsid w:val="00B306EB"/>
    <w:rsid w:val="00B32505"/>
    <w:rsid w:val="00B40077"/>
    <w:rsid w:val="00B41438"/>
    <w:rsid w:val="00B43018"/>
    <w:rsid w:val="00B44385"/>
    <w:rsid w:val="00B44FB4"/>
    <w:rsid w:val="00B45264"/>
    <w:rsid w:val="00B52EEB"/>
    <w:rsid w:val="00B57E1C"/>
    <w:rsid w:val="00B626FD"/>
    <w:rsid w:val="00B80335"/>
    <w:rsid w:val="00B82B42"/>
    <w:rsid w:val="00B91F6C"/>
    <w:rsid w:val="00B93C07"/>
    <w:rsid w:val="00B94A46"/>
    <w:rsid w:val="00BA0EA1"/>
    <w:rsid w:val="00BA2C61"/>
    <w:rsid w:val="00BA3B02"/>
    <w:rsid w:val="00BB1504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2994"/>
    <w:rsid w:val="00C64819"/>
    <w:rsid w:val="00C64B25"/>
    <w:rsid w:val="00C66DF6"/>
    <w:rsid w:val="00C70CA1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697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62"/>
    <w:rsid w:val="00D60D8E"/>
    <w:rsid w:val="00D6181A"/>
    <w:rsid w:val="00D65E9D"/>
    <w:rsid w:val="00D66788"/>
    <w:rsid w:val="00D67DCB"/>
    <w:rsid w:val="00D813F0"/>
    <w:rsid w:val="00D83D52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367A"/>
    <w:rsid w:val="00DD4431"/>
    <w:rsid w:val="00DD70AD"/>
    <w:rsid w:val="00DD7E85"/>
    <w:rsid w:val="00DE323B"/>
    <w:rsid w:val="00DE4CD7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574BA"/>
    <w:rsid w:val="00E6487E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824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431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 (C)</cp:lastModifiedBy>
  <cp:revision>4</cp:revision>
  <cp:lastPrinted>2023-05-26T06:27:00Z</cp:lastPrinted>
  <dcterms:created xsi:type="dcterms:W3CDTF">2025-10-20T10:54:00Z</dcterms:created>
  <dcterms:modified xsi:type="dcterms:W3CDTF">2025-10-22T07:45:00Z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5a0c20f4-1de6-49f2-87ca-5107eed2a680</vt:lpwstr>
  </property>
</Properties>
</file>